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（样表2，以系统导出为准）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（省级学会）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省级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省级学会</w:t>
            </w:r>
            <w:r>
              <w:rPr>
                <w:rFonts w:hint="eastAsia" w:ascii="宋体" w:hAnsi="宋体"/>
              </w:rPr>
              <w:t>填写组织专家评审、理事会（常务理事会）审议、公示等情况。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both"/>
        <w:rPr>
          <w:rFonts w:ascii="方正小标宋简体" w:hAnsi="方正黑体_GBK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0" w:h="16840"/>
      <w:pgMar w:top="2098" w:right="1588" w:bottom="1985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33AB4-7E5C-472B-A522-A10695394B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03654B-9328-42FB-A5E0-8EA1AF684C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A440AA-2FEB-47ED-9027-D05CAF3AC7F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9568C75-8375-4414-BB81-DA56EB260EF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4E716773-39F4-4CBE-B9A4-D32D31DFAD50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A700DDC-E686-4652-9BBD-6CFC6F821278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466089D9-71F4-4CB8-B923-7726176AC9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45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46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2E385EE7"/>
    <w:rsid w:val="31753530"/>
    <w:rsid w:val="31E35681"/>
    <w:rsid w:val="341D696C"/>
    <w:rsid w:val="4CDB65A8"/>
    <w:rsid w:val="4D511FD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semiHidden/>
    <w:unhideWhenUsed/>
    <w:qFormat/>
    <w:uiPriority w:val="99"/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autoRedefine/>
    <w:semiHidden/>
    <w:qFormat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autoRedefine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9FAB-B46C-4120-BD10-636703E4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46</Pages>
  <Words>1977</Words>
  <Characters>11271</Characters>
  <Lines>93</Lines>
  <Paragraphs>26</Paragraphs>
  <TotalTime>2</TotalTime>
  <ScaleCrop>false</ScaleCrop>
  <LinksUpToDate>false</LinksUpToDate>
  <CharactersWithSpaces>13222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吴 德敏</dc:creator>
  <cp:lastModifiedBy>文档存本地丢失不负责</cp:lastModifiedBy>
  <cp:lastPrinted>2024-03-18T01:02:00Z</cp:lastPrinted>
  <dcterms:modified xsi:type="dcterms:W3CDTF">2024-04-30T01:57:34Z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342F003CBF7A456B81893573B4508A9A_13</vt:lpwstr>
  </property>
</Properties>
</file>