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658D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700" w:lineRule="exact"/>
        <w:jc w:val="both"/>
        <w:textAlignment w:val="baseline"/>
        <w:rPr>
          <w:rFonts w:hint="default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  <w:t>附件3</w:t>
      </w:r>
    </w:p>
    <w:p w14:paraId="254274B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70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snapToGrid w:val="0"/>
          <w:color w:val="000000"/>
          <w:w w:val="9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color w:val="000000"/>
          <w:kern w:val="2"/>
          <w:sz w:val="44"/>
          <w:szCs w:val="44"/>
          <w:lang w:val="en-US" w:eastAsia="zh-CN"/>
        </w:rPr>
        <w:t>无人飞行器障碍主题赛规则</w:t>
      </w:r>
    </w:p>
    <w:p w14:paraId="219376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608" w:firstLineChars="200"/>
        <w:jc w:val="left"/>
        <w:textAlignment w:val="auto"/>
        <w:outlineLvl w:val="1"/>
        <w:rPr>
          <w:rFonts w:ascii="黑体" w:hAnsi="黑体" w:eastAsia="黑体" w:cs="黑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  <w:t>一、赛项简介</w:t>
      </w:r>
    </w:p>
    <w:p w14:paraId="06DD4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本赛项以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数字素养与技能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提升为导向，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参赛者需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基于通用教学硬件主控构建实现特定功能的无人系统，并采用遥控或程序控制方式完成预设任务。竞赛旨在普及信息技术与智能应用相关知识，培养青少年的计算思维与创意思维，锻炼其创造能力、解决实际问题的能力以及交流合作能力。</w:t>
      </w:r>
    </w:p>
    <w:p w14:paraId="2491C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赛项内容涵盖主流硬件架构认知与接口调试，全面考查智能系统设计与实现能力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参赛者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需经历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“需求调研—硬件选型—编程实现—测试优化”全流程实践。</w:t>
      </w:r>
    </w:p>
    <w:p w14:paraId="0FA28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608" w:firstLineChars="200"/>
        <w:jc w:val="left"/>
        <w:textAlignment w:val="auto"/>
        <w:outlineLvl w:val="1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  <w:t>二、赛项主题</w:t>
      </w:r>
    </w:p>
    <w:p w14:paraId="2CB6213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9" w:right="45" w:firstLine="556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spacing w:val="-7"/>
          <w:kern w:val="0"/>
          <w:sz w:val="28"/>
          <w:szCs w:val="28"/>
          <w:lang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本赛项主题为“三域智联解锁无人新境”。</w:t>
      </w:r>
    </w:p>
    <w:p w14:paraId="4AAF6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608" w:firstLineChars="200"/>
        <w:jc w:val="left"/>
        <w:textAlignment w:val="auto"/>
        <w:outlineLvl w:val="1"/>
        <w:rPr>
          <w:rFonts w:ascii="黑体" w:hAnsi="黑体" w:eastAsia="黑体" w:cs="黑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  <w:t>三、比赛分组</w:t>
      </w:r>
    </w:p>
    <w:p w14:paraId="0AD44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本赛项选手报名组别按参赛选手当前在读学段分为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（初中、高中、中职在校生），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本赛项以个人形式报名。</w:t>
      </w:r>
    </w:p>
    <w:p w14:paraId="24E78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firstLine="608" w:firstLineChars="200"/>
        <w:jc w:val="left"/>
        <w:textAlignment w:val="auto"/>
        <w:outlineLvl w:val="1"/>
        <w:rPr>
          <w:rFonts w:ascii="黑体" w:hAnsi="黑体" w:eastAsia="黑体" w:cs="黑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  <w:t>四、赛项内容</w:t>
      </w:r>
    </w:p>
    <w:p w14:paraId="6AE8F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right="0" w:firstLine="640" w:firstLineChars="200"/>
        <w:jc w:val="left"/>
        <w:textAlignment w:val="auto"/>
        <w:outlineLvl w:val="2"/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  <w:t>（一）</w:t>
      </w:r>
      <w:r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val="en-US" w:eastAsia="zh-CN"/>
        </w:rPr>
        <w:t>赛项概述</w:t>
      </w:r>
    </w:p>
    <w:p w14:paraId="5614BE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9" w:right="45" w:firstLine="556"/>
        <w:jc w:val="left"/>
        <w:textAlignment w:val="baseline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本赛项面向自然灾害与突发事件后的复杂救援环境，考察选手运用空中无人系统进行灾情侦察、生命救援、物资投送与关键设施恢复的能力，体现智能科技在提升应急救援效率与安全性方面的巨大潜力。参赛者需通过需求分析、硬件搭建与遥控或编程控制，构建完整的无人系统解决方案，提升科技自信、计算思维与工程实践能力。</w:t>
      </w:r>
    </w:p>
    <w:p w14:paraId="6F66D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参赛选手围绕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竞赛主题，设计并制作相应的无人系统，在模拟的灾害场景中完成一项紧急救援任务。</w:t>
      </w:r>
    </w:p>
    <w:p w14:paraId="53B6B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right="0" w:firstLine="640" w:firstLineChars="200"/>
        <w:jc w:val="left"/>
        <w:textAlignment w:val="auto"/>
        <w:outlineLvl w:val="2"/>
        <w:rPr>
          <w:rFonts w:ascii="黑体" w:hAnsi="黑体" w:eastAsia="黑体" w:cs="黑体"/>
          <w:snapToGrid w:val="0"/>
          <w:color w:val="000000"/>
          <w:spacing w:val="0"/>
          <w:w w:val="100"/>
          <w:kern w:val="0"/>
          <w:position w:val="0"/>
          <w:sz w:val="28"/>
          <w:szCs w:val="28"/>
          <w:lang w:eastAsia="en-US"/>
        </w:rPr>
      </w:pPr>
      <w:r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  <w:t>（二）硬件技术及资源要求</w:t>
      </w:r>
    </w:p>
    <w:tbl>
      <w:tblPr>
        <w:tblStyle w:val="6"/>
        <w:tblW w:w="910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8028"/>
      </w:tblGrid>
      <w:tr w14:paraId="2CC6E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  <w:jc w:val="center"/>
        </w:trPr>
        <w:tc>
          <w:tcPr>
            <w:tcW w:w="1074" w:type="dxa"/>
            <w:vAlign w:val="center"/>
          </w:tcPr>
          <w:p w14:paraId="756BE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类别</w:t>
            </w:r>
          </w:p>
        </w:tc>
        <w:tc>
          <w:tcPr>
            <w:tcW w:w="8028" w:type="dxa"/>
            <w:vAlign w:val="top"/>
          </w:tcPr>
          <w:p w14:paraId="1C74E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技术规则及资源要求</w:t>
            </w:r>
          </w:p>
        </w:tc>
      </w:tr>
      <w:tr w14:paraId="6499D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  <w:jc w:val="center"/>
        </w:trPr>
        <w:tc>
          <w:tcPr>
            <w:tcW w:w="1074" w:type="dxa"/>
            <w:vAlign w:val="center"/>
          </w:tcPr>
          <w:p w14:paraId="70D5B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无人系统硬件要求</w:t>
            </w:r>
          </w:p>
        </w:tc>
        <w:tc>
          <w:tcPr>
            <w:tcW w:w="8028" w:type="dxa"/>
            <w:vAlign w:val="top"/>
          </w:tcPr>
          <w:p w14:paraId="6922A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eastAsia="en-US"/>
              </w:rPr>
              <w:t>空中无人系统：类型为四轴无人飞行器；整体重量不超过 150g（含电池、防护罩及外接模块）；锂电池额定容量不超过 1100mAh，标称电压不超过 7.4V；轴距范围均为 130mm～230mm；比赛全程必须安装护翼。</w:t>
            </w:r>
          </w:p>
        </w:tc>
      </w:tr>
    </w:tbl>
    <w:p w14:paraId="5D57A0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right="0" w:firstLine="640" w:firstLineChars="200"/>
        <w:jc w:val="left"/>
        <w:textAlignment w:val="auto"/>
        <w:outlineLvl w:val="2"/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</w:pPr>
      <w:r>
        <w:rPr>
          <w:rFonts w:hint="eastAsia" w:ascii="楷体" w:hAnsi="楷体" w:eastAsia="楷体" w:cs="楷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eastAsia="en-US"/>
        </w:rPr>
        <w:t>（三）空中救援场景</w:t>
      </w:r>
    </w:p>
    <w:p w14:paraId="4A333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参赛选手围绕竞赛主题，完成创作。</w:t>
      </w:r>
    </w:p>
    <w:p w14:paraId="52C69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（1）任务描述</w:t>
      </w:r>
    </w:p>
    <w:p w14:paraId="285D2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随着无人飞行器技术的不断发展，无人飞行器已经广泛应用于农业植保、应急救援、城市服务等领域，空中救援模拟无人飞行器应用场景，要求参赛选手在规定的时间内，通过手动操控无人飞行器，尽可能快地完成路线规划、障碍穿越、物资运输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等任务。</w:t>
      </w:r>
    </w:p>
    <w:p w14:paraId="1E6E5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（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）任务要求</w:t>
      </w:r>
    </w:p>
    <w:p w14:paraId="48055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分为准备和比赛环节，比赛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得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分为任务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分+时间奖励分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，每位参赛选手只有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两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轮比赛机会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，取最优成绩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。无人飞行器飞行期间，参赛选手不得进入比赛地图内，只能在靠近基地一侧比赛地图外 5m×1m 范围内活动。任务失败或炸机，可以从基地重新出发重新开始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完成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任务，次数不限。比赛一旦开始，计时不暂停，比赛过程中可更换无人飞行器等。</w:t>
      </w:r>
    </w:p>
    <w:p w14:paraId="4C082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比赛结束后，参赛选手须与裁判核对成绩并签字。该赛项排名以最终得分为第一评判标准，分数高者排名靠前；最终得分相同时以比赛用时为第二评判标准，用时少者排名靠前；最终得分和比赛用时均相同，则并列排名。空中救援场景为单人赛制。</w:t>
      </w:r>
    </w:p>
    <w:p w14:paraId="5C591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①准备环节</w:t>
      </w:r>
    </w:p>
    <w:p w14:paraId="354C6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准备环节不超过1分钟。参赛选手查看比赛场地环境，确认无误后签字。然后在裁判员确认下进行无人飞行器飞行测试（不能飞行赛道）及其他准备工作，确保比赛用机处于正常的工作状态，然后将运输的物资手动挂载到无人飞行器上，并将无人飞行器放置于基地内，须保证无人飞行器的垂直投影在基地内，无人飞行器摆放时朝向无要求。确认无误后裁判发出“开始”口令，比赛计时开始，选手启动无人飞行器，进入比赛环节。</w:t>
      </w:r>
    </w:p>
    <w:p w14:paraId="438C9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②基础任务</w:t>
      </w:r>
    </w:p>
    <w:p w14:paraId="547BE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基础任务时间为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秒，以遥控形式按顺序完成各项任务。参赛选手提前告知裁判准备结束比赛，无人飞行器均安全降落在基地内，桨叶停止转动，裁判按下计时器停止计时，比赛结束。超过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秒比赛自动终止；若主动放弃任务或无法继续比赛，计时记为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秒。</w:t>
      </w:r>
    </w:p>
    <w:p w14:paraId="777B2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比赛计时精确到毫秒，若参赛选手任务分为满分，则可获得额外奖励分，奖励分=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-比赛用时。每轮总分=120+奖励分。例如：</w:t>
      </w:r>
    </w:p>
    <w:p w14:paraId="6A13E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参赛选手任务分为满分，比赛用时为34秒49毫秒，记录为34″49，奖励分为：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-34.49=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85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.51，基础任务最终得分为：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+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5.51=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185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.51。</w:t>
      </w:r>
    </w:p>
    <w:p w14:paraId="6456E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参赛选手如果在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秒内未完成所有基础任务，视截止时已完成任务总得分为最终得分，比赛结束，用时记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为120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秒。</w:t>
      </w:r>
    </w:p>
    <w:p w14:paraId="7468B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基础任务须按照以下任务顺序依次完成任务，不可跳项完成任务。基础任务如下：</w:t>
      </w:r>
    </w:p>
    <w:tbl>
      <w:tblPr>
        <w:tblStyle w:val="6"/>
        <w:tblW w:w="904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9"/>
        <w:gridCol w:w="7373"/>
        <w:gridCol w:w="788"/>
      </w:tblGrid>
      <w:tr w14:paraId="43F4A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54F95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编号</w:t>
            </w:r>
          </w:p>
        </w:tc>
        <w:tc>
          <w:tcPr>
            <w:tcW w:w="7373" w:type="dxa"/>
            <w:vAlign w:val="top"/>
          </w:tcPr>
          <w:p w14:paraId="5ED30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任务点内容</w:t>
            </w:r>
          </w:p>
        </w:tc>
        <w:tc>
          <w:tcPr>
            <w:tcW w:w="788" w:type="dxa"/>
            <w:vAlign w:val="center"/>
          </w:tcPr>
          <w:p w14:paraId="48B40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满分</w:t>
            </w:r>
          </w:p>
        </w:tc>
      </w:tr>
      <w:tr w14:paraId="65E9D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2582D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7373" w:type="dxa"/>
            <w:shd w:val="clear" w:color="auto" w:fill="auto"/>
            <w:vAlign w:val="top"/>
          </w:tcPr>
          <w:p w14:paraId="5951E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极限穿越：无人飞行器成功穿越竖圆门。</w:t>
            </w:r>
          </w:p>
        </w:tc>
        <w:tc>
          <w:tcPr>
            <w:tcW w:w="788" w:type="dxa"/>
            <w:vAlign w:val="center"/>
          </w:tcPr>
          <w:p w14:paraId="16747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</w:tr>
      <w:tr w14:paraId="33D6B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2D091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7373" w:type="dxa"/>
            <w:shd w:val="clear" w:color="auto" w:fill="auto"/>
            <w:vAlign w:val="top"/>
          </w:tcPr>
          <w:p w14:paraId="71EBA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极限穿越二：无人飞行器成功穿越垂直环。依次从下向上、从右向左穿越。</w:t>
            </w:r>
          </w:p>
        </w:tc>
        <w:tc>
          <w:tcPr>
            <w:tcW w:w="788" w:type="dxa"/>
            <w:vAlign w:val="center"/>
          </w:tcPr>
          <w:p w14:paraId="5F6EA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</w:tr>
      <w:tr w14:paraId="710B6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6FB82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7373" w:type="dxa"/>
            <w:shd w:val="clear" w:color="auto" w:fill="auto"/>
            <w:vAlign w:val="top"/>
          </w:tcPr>
          <w:p w14:paraId="6FD76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深渊探秘：无人飞行器从上向下穿越水平圆门。</w:t>
            </w:r>
          </w:p>
        </w:tc>
        <w:tc>
          <w:tcPr>
            <w:tcW w:w="788" w:type="dxa"/>
            <w:vAlign w:val="center"/>
          </w:tcPr>
          <w:p w14:paraId="7115B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</w:tr>
      <w:tr w14:paraId="77AB9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3C2A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A9EC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荒野迷宫：在飞行高度低于标杆高度的前提下，无人飞行器从两个缝隙中各穿越一次，要求两次穿越的方向不同。</w:t>
            </w:r>
          </w:p>
        </w:tc>
        <w:tc>
          <w:tcPr>
            <w:tcW w:w="788" w:type="dxa"/>
            <w:vAlign w:val="center"/>
          </w:tcPr>
          <w:p w14:paraId="51AC9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</w:tr>
      <w:tr w14:paraId="42732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EA78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CA8B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物资补给：无人飞行器将物资投放到标记点 5 处的物资箱内（若物资未接触物资箱底部，视为物资投放无效）。</w:t>
            </w:r>
          </w:p>
        </w:tc>
        <w:tc>
          <w:tcPr>
            <w:tcW w:w="788" w:type="dxa"/>
            <w:vAlign w:val="center"/>
          </w:tcPr>
          <w:p w14:paraId="42492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</w:tr>
      <w:tr w14:paraId="31C40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20AE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378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精准返航：无人飞行器降落至起飞处的停机坪上。（以无人飞行器的脚架垂直投影判定得分，球形机型以外边缘底部判定）。无人飞行器一旦接触基地区域，即视为降落，不得再次起飞。着陆得分等级分为完美25、优秀15、良好10、及格5、无效0。</w:t>
            </w:r>
          </w:p>
        </w:tc>
        <w:tc>
          <w:tcPr>
            <w:tcW w:w="788" w:type="dxa"/>
            <w:vAlign w:val="center"/>
          </w:tcPr>
          <w:p w14:paraId="48EF0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</w:tr>
    </w:tbl>
    <w:p w14:paraId="1B5671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④违规扣分</w:t>
      </w:r>
    </w:p>
    <w:p w14:paraId="2CAA5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a.无人飞行器飞行期间，参赛选手进入场地或人为触碰无人飞行器，每次扣20分，无人机撞网、碰撞场内道具不扣分。</w:t>
      </w:r>
    </w:p>
    <w:p w14:paraId="3DB04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b.飞行过程中，出现危及他人安全的情况，扣20分并终止本次比赛，完成的任务及得分有效。若发生在基础任务阶段，比赛时间记为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秒。</w:t>
      </w:r>
    </w:p>
    <w:p w14:paraId="11B76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c.比赛过程中必须佩戴眼部护具（护目镜或眼镜），不佩戴扣 20分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，以选手进入场地后开始判分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。</w:t>
      </w:r>
    </w:p>
    <w:p w14:paraId="4ED1F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d.参赛选手总成绩为：总分=任务最终得分+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时间奖励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+扣分。最低成绩为0分。</w:t>
      </w:r>
    </w:p>
    <w:p w14:paraId="1F4E0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（3）场景地图及道具</w:t>
      </w:r>
    </w:p>
    <w:p w14:paraId="223F57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napToGrid w:val="0"/>
          <w:color w:val="000000"/>
          <w:spacing w:val="-7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比赛在室内场地进行，地图尺寸为 5m×5m，如图1所示。</w:t>
      </w:r>
    </w:p>
    <w:p w14:paraId="72C9A2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center"/>
        <w:textAlignment w:val="auto"/>
        <w:outlineLvl w:val="1"/>
        <w:rPr>
          <w:rFonts w:hint="eastAsia" w:ascii="黑体" w:hAnsi="黑体" w:eastAsia="宋体" w:cs="黑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宋体" w:cs="黑体"/>
          <w:snapToGrid w:val="0"/>
          <w:color w:val="000000"/>
          <w:spacing w:val="0"/>
          <w:w w:val="100"/>
          <w:kern w:val="0"/>
          <w:position w:val="0"/>
          <w:sz w:val="32"/>
          <w:szCs w:val="32"/>
          <w:lang w:val="en-US" w:eastAsia="zh-CN"/>
        </w:rPr>
        <w:drawing>
          <wp:inline distT="0" distB="0" distL="114300" distR="114300">
            <wp:extent cx="4962525" cy="4792345"/>
            <wp:effectExtent l="0" t="0" r="9525" b="8255"/>
            <wp:docPr id="18" name="图片 18" descr="53ea25f9b8d57927d643c5d013e4e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3ea25f9b8d57927d643c5d013e4ea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7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图1 场地尺寸图</w:t>
      </w:r>
    </w:p>
    <w:p w14:paraId="33C7F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①任务区</w:t>
      </w:r>
    </w:p>
    <w:p w14:paraId="349A2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a.竖圆门</w:t>
      </w:r>
    </w:p>
    <w:p w14:paraId="7B794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标记点 1 处放有一圆门， 内部直径约50cm，圆门中心离地高度及朝向以现场公布为准，如图2所示。</w:t>
      </w:r>
    </w:p>
    <w:p w14:paraId="16724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jc w:val="center"/>
        <w:textAlignment w:val="auto"/>
        <w:rPr>
          <w:rFonts w:ascii="Arial" w:hAnsi="Arial" w:eastAsia="Arial" w:cs="Arial"/>
          <w:snapToGrid w:val="0"/>
          <w:color w:val="000000"/>
          <w:kern w:val="0"/>
          <w:position w:val="-66"/>
          <w:szCs w:val="21"/>
          <w:lang w:eastAsia="en-US"/>
        </w:rPr>
      </w:pPr>
      <w:r>
        <w:rPr>
          <w:rFonts w:ascii="Arial" w:hAnsi="Arial" w:eastAsia="Arial" w:cs="Arial"/>
          <w:snapToGrid w:val="0"/>
          <w:color w:val="000000"/>
          <w:kern w:val="0"/>
          <w:position w:val="-66"/>
          <w:szCs w:val="21"/>
          <w:lang w:eastAsia="en-US"/>
        </w:rPr>
        <w:drawing>
          <wp:inline distT="0" distB="0" distL="0" distR="0">
            <wp:extent cx="1609090" cy="2163445"/>
            <wp:effectExtent l="0" t="0" r="10160" b="8255"/>
            <wp:docPr id="26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0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图2 竖圆门</w:t>
      </w:r>
    </w:p>
    <w:p w14:paraId="4A1AD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b.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垂直环</w:t>
      </w:r>
    </w:p>
    <w:p w14:paraId="6DB70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依次穿越 2A（从下向上）和 2B（从右向左），飞向下一个任务。任务中，两个圆环成垂直关系，2A 水平放置，2B 竖直放置。2A的内部直径为 60cm（误差±5cm），2B 的内部直径为60cm（误差±5cm）中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心离地高度以现场公布为准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如图3所示。</w:t>
      </w:r>
    </w:p>
    <w:p w14:paraId="55FDB205">
      <w:pPr>
        <w:kinsoku w:val="0"/>
        <w:autoSpaceDE w:val="0"/>
        <w:autoSpaceDN w:val="0"/>
        <w:adjustRightInd w:val="0"/>
        <w:snapToGrid w:val="0"/>
        <w:spacing w:line="360" w:lineRule="auto"/>
        <w:ind w:left="0" w:leftChars="0" w:firstLine="0" w:firstLineChars="0"/>
        <w:jc w:val="left"/>
        <w:textAlignment w:val="baseline"/>
        <w:rPr>
          <w:rFonts w:hint="eastAsia"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zh-CN" w:bidi="ar-SA"/>
        </w:rPr>
      </w:pPr>
    </w:p>
    <w:p w14:paraId="7725C17A">
      <w:pPr>
        <w:kinsoku w:val="0"/>
        <w:autoSpaceDE w:val="0"/>
        <w:autoSpaceDN w:val="0"/>
        <w:adjustRightInd w:val="0"/>
        <w:snapToGrid w:val="0"/>
        <w:spacing w:line="360" w:lineRule="auto"/>
        <w:ind w:firstLine="420"/>
        <w:jc w:val="center"/>
        <w:textAlignment w:val="baseline"/>
        <w:rPr>
          <w:rFonts w:hint="default"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zh-CN" w:bidi="ar-SA"/>
        </w:rPr>
      </w:pPr>
      <w:r>
        <w:rPr>
          <w:rFonts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en-US" w:bidi="ar-SA"/>
        </w:rPr>
        <w:drawing>
          <wp:inline distT="0" distB="0" distL="114300" distR="114300">
            <wp:extent cx="1868805" cy="1880870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A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 xml:space="preserve">图3 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垂直环</w:t>
      </w:r>
    </w:p>
    <w:p w14:paraId="0BDCE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c.水平圆门</w:t>
      </w:r>
    </w:p>
    <w:p w14:paraId="4DFAF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标记点 3 处放有一水平圆门， 内部直径60cm，圆门中心离地高度以现场公布为准，如图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所示。</w:t>
      </w:r>
    </w:p>
    <w:p w14:paraId="70A0D7A9">
      <w:pPr>
        <w:widowControl/>
        <w:kinsoku w:val="0"/>
        <w:autoSpaceDE w:val="0"/>
        <w:autoSpaceDN w:val="0"/>
        <w:adjustRightInd w:val="0"/>
        <w:snapToGrid w:val="0"/>
        <w:spacing w:before="207" w:line="3386" w:lineRule="exact"/>
        <w:ind w:firstLine="1781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  <w:r>
        <w:rPr>
          <w:rFonts w:hint="eastAsia" w:ascii="Arial" w:hAnsi="Arial" w:eastAsia="Arial" w:cs="Arial"/>
          <w:snapToGrid w:val="0"/>
          <w:color w:val="000000"/>
          <w:kern w:val="0"/>
          <w:position w:val="-67"/>
          <w:szCs w:val="21"/>
          <w:lang w:val="en-US" w:eastAsia="zh-CN"/>
        </w:rPr>
        <w:t xml:space="preserve">   </w:t>
      </w:r>
      <w:r>
        <w:rPr>
          <w:rFonts w:ascii="Arial" w:hAnsi="Arial" w:eastAsia="Arial" w:cs="Arial"/>
          <w:snapToGrid w:val="0"/>
          <w:color w:val="000000"/>
          <w:kern w:val="0"/>
          <w:position w:val="-67"/>
          <w:szCs w:val="21"/>
          <w:lang w:eastAsia="en-US"/>
        </w:rPr>
        <w:drawing>
          <wp:inline distT="0" distB="0" distL="0" distR="0">
            <wp:extent cx="3048000" cy="2149475"/>
            <wp:effectExtent l="0" t="0" r="0" b="3175"/>
            <wp:docPr id="28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634" cy="21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1538">
      <w:pPr>
        <w:kinsoku w:val="0"/>
        <w:autoSpaceDE w:val="0"/>
        <w:autoSpaceDN w:val="0"/>
        <w:adjustRightInd w:val="0"/>
        <w:snapToGrid w:val="0"/>
        <w:spacing w:line="389" w:lineRule="auto"/>
        <w:jc w:val="left"/>
        <w:textAlignment w:val="baseline"/>
        <w:rPr>
          <w:rFonts w:ascii="黑体" w:hAnsi="黑体" w:eastAsia="黑体" w:cs="黑体"/>
          <w:snapToGrid w:val="0"/>
          <w:color w:val="000000"/>
          <w:kern w:val="0"/>
          <w:sz w:val="39"/>
          <w:szCs w:val="39"/>
          <w:lang w:val="en-US" w:eastAsia="en-US" w:bidi="ar-SA"/>
        </w:rPr>
      </w:pPr>
    </w:p>
    <w:p w14:paraId="7EA1B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图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 xml:space="preserve"> 水平圆门</w:t>
      </w:r>
    </w:p>
    <w:p w14:paraId="0CE12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d.标杆</w:t>
      </w:r>
    </w:p>
    <w:p w14:paraId="0B195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标记点4处放有三根高度不超过 1.5m 的等间距标杆，间距约为50cm，如图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所示。</w:t>
      </w:r>
    </w:p>
    <w:p w14:paraId="0A57334A">
      <w:pPr>
        <w:widowControl/>
        <w:kinsoku w:val="0"/>
        <w:autoSpaceDE w:val="0"/>
        <w:autoSpaceDN w:val="0"/>
        <w:adjustRightInd w:val="0"/>
        <w:snapToGrid w:val="0"/>
        <w:spacing w:line="4050" w:lineRule="exact"/>
        <w:ind w:firstLine="874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  <w:r>
        <w:rPr>
          <w:rFonts w:hint="eastAsia" w:ascii="Arial" w:hAnsi="Arial" w:eastAsia="Arial" w:cs="Arial"/>
          <w:snapToGrid w:val="0"/>
          <w:color w:val="000000"/>
          <w:kern w:val="0"/>
          <w:position w:val="-81"/>
          <w:szCs w:val="21"/>
          <w:lang w:val="en-US" w:eastAsia="zh-CN"/>
        </w:rPr>
        <w:t xml:space="preserve">   </w:t>
      </w:r>
      <w:r>
        <w:rPr>
          <w:rFonts w:ascii="Arial" w:hAnsi="Arial" w:eastAsia="Arial" w:cs="Arial"/>
          <w:snapToGrid w:val="0"/>
          <w:color w:val="000000"/>
          <w:kern w:val="0"/>
          <w:position w:val="-81"/>
          <w:szCs w:val="21"/>
          <w:lang w:eastAsia="en-US"/>
        </w:rPr>
        <w:drawing>
          <wp:inline distT="0" distB="0" distL="0" distR="0">
            <wp:extent cx="4200525" cy="2571750"/>
            <wp:effectExtent l="0" t="0" r="9525" b="0"/>
            <wp:docPr id="7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187C">
      <w:pPr>
        <w:widowControl/>
        <w:kinsoku w:val="0"/>
        <w:autoSpaceDE w:val="0"/>
        <w:autoSpaceDN w:val="0"/>
        <w:adjustRightInd w:val="0"/>
        <w:snapToGrid w:val="0"/>
        <w:spacing w:before="220" w:line="222" w:lineRule="auto"/>
        <w:jc w:val="center"/>
        <w:textAlignment w:val="baseline"/>
        <w:outlineLvl w:val="0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图5 标杆</w:t>
      </w:r>
    </w:p>
    <w:p w14:paraId="39985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e.物资箱</w:t>
      </w:r>
    </w:p>
    <w:p w14:paraId="75959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标记点5处放有尺寸约为 30cm×30cm×30cm 的正方体物资箱，顶面开口，如图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  <w:t>所示。</w:t>
      </w:r>
    </w:p>
    <w:p w14:paraId="36143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</w:p>
    <w:p w14:paraId="2A842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/>
        </w:rPr>
      </w:pPr>
    </w:p>
    <w:p w14:paraId="7D004232">
      <w:pPr>
        <w:widowControl/>
        <w:kinsoku w:val="0"/>
        <w:autoSpaceDE w:val="0"/>
        <w:autoSpaceDN w:val="0"/>
        <w:adjustRightInd w:val="0"/>
        <w:snapToGrid w:val="0"/>
        <w:spacing w:line="2826" w:lineRule="exact"/>
        <w:jc w:val="center"/>
        <w:textAlignment w:val="baseline"/>
        <w:rPr>
          <w:rFonts w:hint="default" w:ascii="Arial" w:hAnsi="Arial" w:eastAsia="宋体" w:cs="Arial"/>
          <w:snapToGrid w:val="0"/>
          <w:color w:val="000000"/>
          <w:kern w:val="0"/>
          <w:szCs w:val="21"/>
          <w:lang w:val="en-US" w:eastAsia="zh-CN"/>
        </w:rPr>
      </w:pPr>
      <w:r>
        <w:rPr>
          <w:rFonts w:ascii="Arial" w:hAnsi="Arial" w:eastAsia="Arial" w:cs="Arial"/>
          <w:snapToGrid w:val="0"/>
          <w:color w:val="000000"/>
          <w:kern w:val="0"/>
          <w:position w:val="-56"/>
          <w:szCs w:val="21"/>
          <w:lang w:eastAsia="en-US"/>
        </w:rPr>
        <w:drawing>
          <wp:inline distT="0" distB="0" distL="0" distR="0">
            <wp:extent cx="1911985" cy="1794510"/>
            <wp:effectExtent l="0" t="0" r="12065" b="1524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2059" cy="179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42C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图 6 物资箱</w:t>
      </w:r>
    </w:p>
    <w:p w14:paraId="18126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f.停机坪</w:t>
      </w:r>
    </w:p>
    <w:p w14:paraId="192B66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停机坪圆环直径从里到外依次为40cm、60cm、80cm及100cm（误差±5cm）。着陆成绩的计算以无人飞行器停桨结束比赛的位置进行考核评定，依次得分情况为完美着陆 25 分，优秀着陆 15 分，良好着陆10 分，及格着陆5分，无效着陆0分，如图8至图 12 所示。评判时，以无人飞行器的四个脚架为参考基准，压线时取高分。</w:t>
      </w:r>
    </w:p>
    <w:p w14:paraId="63E457CB">
      <w:pPr>
        <w:kinsoku w:val="0"/>
        <w:autoSpaceDE w:val="0"/>
        <w:autoSpaceDN w:val="0"/>
        <w:adjustRightInd w:val="0"/>
        <w:snapToGrid w:val="0"/>
        <w:spacing w:line="360" w:lineRule="auto"/>
        <w:ind w:firstLine="420"/>
        <w:jc w:val="left"/>
        <w:textAlignment w:val="baseline"/>
        <w:rPr>
          <w:rFonts w:hint="default"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zh-CN" w:bidi="ar-SA"/>
        </w:rPr>
      </w:pPr>
      <w:r>
        <w:rPr>
          <w:rFonts w:hint="eastAsia"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zh-CN" w:bidi="ar-SA"/>
        </w:rPr>
        <w:t xml:space="preserve">   </w:t>
      </w:r>
      <w:r>
        <w:rPr>
          <w:rFonts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en-US" w:bidi="ar-SA"/>
        </w:rPr>
        <w:drawing>
          <wp:inline distT="0" distB="0" distL="114300" distR="114300">
            <wp:extent cx="1997710" cy="1979930"/>
            <wp:effectExtent l="0" t="0" r="254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zh-CN" w:bidi="ar-SA"/>
        </w:rPr>
        <w:t xml:space="preserve">           </w:t>
      </w:r>
      <w:r>
        <w:rPr>
          <w:rFonts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en-US" w:bidi="ar-SA"/>
        </w:rPr>
        <w:drawing>
          <wp:inline distT="0" distB="0" distL="114300" distR="114300">
            <wp:extent cx="1993900" cy="1979930"/>
            <wp:effectExtent l="0" t="0" r="635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EED7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line="240" w:lineRule="auto"/>
        <w:ind w:firstLine="1280" w:firstLineChars="400"/>
        <w:jc w:val="left"/>
        <w:textAlignment w:val="baseline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 xml:space="preserve">图8 完美着陆 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7"/>
          <w:szCs w:val="27"/>
          <w:lang w:val="en-US" w:eastAsia="zh-CN" w:bidi="ar"/>
        </w:rPr>
        <w:t xml:space="preserve">                  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 xml:space="preserve">图9 优秀着陆 </w:t>
      </w:r>
    </w:p>
    <w:p w14:paraId="032DC376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default" w:ascii="仿宋" w:hAnsi="仿宋" w:eastAsia="宋体" w:cs="仿宋"/>
          <w:snapToGrid w:val="0"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Arial" w:hAnsi="Arial" w:eastAsia="Arial" w:cs="Arial"/>
          <w:snapToGrid w:val="0"/>
          <w:color w:val="000000"/>
          <w:kern w:val="0"/>
          <w:szCs w:val="21"/>
          <w:lang w:val="en-US" w:eastAsia="zh-CN"/>
        </w:rPr>
        <w:t xml:space="preserve">          </w:t>
      </w:r>
      <w:r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  <w:drawing>
          <wp:inline distT="0" distB="0" distL="114300" distR="114300">
            <wp:extent cx="1997075" cy="1979930"/>
            <wp:effectExtent l="0" t="0" r="3175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snapToGrid w:val="0"/>
          <w:color w:val="000000"/>
          <w:kern w:val="0"/>
          <w:szCs w:val="21"/>
          <w:lang w:val="en-US" w:eastAsia="zh-CN"/>
        </w:rPr>
        <w:t xml:space="preserve">          </w:t>
      </w:r>
      <w:r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  <w:drawing>
          <wp:inline distT="0" distB="0" distL="114300" distR="114300">
            <wp:extent cx="1992630" cy="1979930"/>
            <wp:effectExtent l="0" t="0" r="762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DBA5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line="240" w:lineRule="auto"/>
        <w:ind w:firstLine="1600" w:firstLineChars="500"/>
        <w:jc w:val="left"/>
        <w:textAlignment w:val="baseline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 xml:space="preserve">图10 良好着陆             图11 及格着陆 </w:t>
      </w:r>
    </w:p>
    <w:p w14:paraId="6EF5F019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line="240" w:lineRule="auto"/>
        <w:ind w:firstLine="1600" w:firstLineChars="500"/>
        <w:jc w:val="left"/>
        <w:textAlignment w:val="baseline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 xml:space="preserve">⑤无效着陆0分，此时，只要无人飞行器有一个脚架落在起降平台以外就视作降落失败，得分为0。 </w:t>
      </w:r>
    </w:p>
    <w:p w14:paraId="6791E213">
      <w:pPr>
        <w:kinsoku w:val="0"/>
        <w:autoSpaceDE w:val="0"/>
        <w:autoSpaceDN w:val="0"/>
        <w:adjustRightInd w:val="0"/>
        <w:snapToGrid w:val="0"/>
        <w:spacing w:line="360" w:lineRule="auto"/>
        <w:ind w:firstLine="420"/>
        <w:jc w:val="center"/>
        <w:textAlignment w:val="baseline"/>
        <w:rPr>
          <w:rFonts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en-US" w:bidi="ar-SA"/>
        </w:rPr>
      </w:pPr>
      <w:r>
        <w:rPr>
          <w:rFonts w:ascii="Calibri" w:hAnsi="Calibri" w:eastAsia="楷体_GB2312" w:cs="黑体"/>
          <w:snapToGrid w:val="0"/>
          <w:color w:val="000000"/>
          <w:kern w:val="0"/>
          <w:sz w:val="24"/>
          <w:szCs w:val="39"/>
          <w:lang w:val="en-US" w:eastAsia="en-US" w:bidi="ar-SA"/>
        </w:rPr>
        <w:drawing>
          <wp:inline distT="0" distB="0" distL="114300" distR="114300">
            <wp:extent cx="2092325" cy="2072640"/>
            <wp:effectExtent l="0" t="0" r="3175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3BE1">
      <w:pPr>
        <w:jc w:val="center"/>
      </w:pP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/>
        </w:rPr>
        <w:t>图 12 无效着陆</w:t>
      </w:r>
    </w:p>
    <w:sectPr>
      <w:headerReference r:id="rId3" w:type="default"/>
      <w:footerReference r:id="rId4" w:type="default"/>
      <w:pgSz w:w="11906" w:h="16838"/>
      <w:pgMar w:top="1440" w:right="1440" w:bottom="144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41176BF-FE75-4B09-814D-244A79DA36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E405139-ADCD-47DF-B99B-629AE3C802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33B1751C-CE8E-43AA-B317-CF1B1CB3DA9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9F126CE9-470B-460E-A7EC-21B2ED89CA4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4E90EFCE-0D9F-4117-BB1A-FD980DC735A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7624EB2-0976-4A29-AE8D-D6E22FAF770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48EDFF1-48DE-4337-BF13-38348613D3B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55BBA82-2298-44E0-9042-E8469AA89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2296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B7396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AB7396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2EE8A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F9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2026-06-22T01:50:34Z</dcterms:created>
  <dc:creator>Lenovo</dc:creator>
  <cp:lastModifiedBy>Ivy</cp:lastModifiedBy>
  <dcterms:modified xsi:type="dcterms:W3CDTF">2026-06-22T01:52:13Z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eyJoZGlkIjoiZjVmNWRhMDQ4ZTI0MGZhODk2YWFhOTY5YjJjODUwYzciLCJ1c2VySWQiOiI0NTU0MzE1ODAifQ==</vt:lpwstr>
  </property>
  <property fmtid="{D5CDD505-2E9C-101B-9397-08002B2CF9AE}" pid="4" name="ICV">
    <vt:lpwstr>E03EA82401CB48838174325FAD435277_12</vt:lpwstr>
  </property>
</Properties>
</file>